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A2" w:rsidRDefault="00E160A2">
      <w:r>
        <w:t>NORMATIVA VINCULAD</w:t>
      </w:r>
      <w:r w:rsidR="00617AD4">
        <w:t>A</w:t>
      </w:r>
    </w:p>
    <w:tbl>
      <w:tblPr>
        <w:tblW w:w="1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2020"/>
        <w:gridCol w:w="2020"/>
        <w:gridCol w:w="1240"/>
      </w:tblGrid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Mantiene reservas fiscales y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prohibe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las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conseciones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en el salar de Uyuni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Decreto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</w:rPr>
              <w:t xml:space="preserve"> ley 7150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7 de mayo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Se declara de interés y prioridad nacional el proyecto COMPLEJO INDUSTRIAL DE QUIMICA BASICA EN BOLIVIA y prolonga por 60 días el funcionamiento de la comisión interinstitucional que elabore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terminos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referencia para la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explotacion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salar de Uyuni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20292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13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junio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Prolongacion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funcionamiento de la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comision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investigacion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salares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20684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enero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Se declara de necesidad nacional, la exploración, explotación, beneficio y comercialización de los recursos minerales metálicos y no metálicos, yacentes en la Cuenca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Evaporítica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Gran Salar de Uyuni, ubicados en el Departamento de Potosí y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creacion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CIRESU 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Ley 719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15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febrero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se autoriza al Complejo Industrial de los Recurso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Evaporiticos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Salar de Uyuni: CIRESU convoque a licitación pública Internacional para la exploración, explotación, industrialización y comercialización de los recursos minero lógicos del Salar de Uyuni.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21108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8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noviembre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Se declara reserva fiscal al gran salar de Uyuni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21260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16 de mayo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3D2A1F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3D2A1F"/>
                <w:sz w:val="16"/>
                <w:szCs w:val="16"/>
                <w:lang w:val="es-ES"/>
              </w:rPr>
              <w:t>Se declara la reserva fiscal del Gran Salar de Uyuni, comprendida en el perímetro que corresponde a la costra salina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Ley 1854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8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abril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3D2A1F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3D2A1F"/>
                <w:sz w:val="16"/>
                <w:szCs w:val="16"/>
                <w:lang w:val="es-ES"/>
              </w:rPr>
              <w:t>Se convalida el perímetro de la costra salina del Gran Salar de Uyuni conforme a la delimitación establecida por el mapa elaborado por el Servicio Nacional de Geología y Minería - SERGEOMIN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26574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abril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Cambio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area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reserva fiscal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Ley 2564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9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diciembre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lastRenderedPageBreak/>
              <w:t xml:space="preserve">Establecer mecanismos impositivos para promover la generación de valor agregado e industrialización de los minerales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evaporíticos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boro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27799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20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octubre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Se prohíbe la exportación de los minerales no metálicos: boro, litio, magnesio y potasio, no sometidos a procesos de industrialización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27590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junio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reglamentar la ejecución de la Ley Nº 2564 de 9 de diciembre de 2003, en lo que concierne a la realización de las auditorias para replanteamiento de derechos mineros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27326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27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enero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Establecer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relacion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con la empresa SOCOMIRG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27548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junio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Declara reserva fiscal a todo el territorio nacional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29117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 de mayo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Prioridad nacional la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industrializacion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salar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uyuni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29496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1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abril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APROBAR el proyecto a diseño final: Desarrollo Integral de las Salmueras del Salar de Uyuni – Instalación, Desarrollo y Puesta en Marcha de una Planta Piloto para la Explotación de Litio, en la localidad de Río Grande, provincia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NorLípez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del Departamento de Potosí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RD3801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abril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Aprobar el reglamento interno del comité científico de investigación para la industrialización de los recursos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evaporiticos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Bolivia (CCII-REB)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RM 109-A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31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agosto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Crear el Comité Científico de Investigación para la Industrialización de los Recurso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Evaporíticos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Bolivia (CCII-REB), en calidad de equipo técnico de asesoramiento especializado, a nivel ministerial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RM 089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31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julio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Declarar la importancia estratégica del aprovechamiento de los recursos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evaporíticos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exclusivamente por parte del Estado Plurinacional de Bolivia y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Creacion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EBRE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444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10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marzo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lastRenderedPageBreak/>
              <w:t>Autorizacion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suscripcion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contratos mineros, excepto en salares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Ley 368 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1 de mayo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Ley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mineria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y metalurgia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Ley 535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28 de mayo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Determinacion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perimetros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salares y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adecuacion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 contratos ex CIRESU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2311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25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marzo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Incorporar al sistema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interconexion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troncal a la infraestructura del proyecto salar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2668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3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febrero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Se crea la Empresa Pública Nacional Estratégica de Yacimientos de Litio Bolivianos - YLB, bajo tuición del Ministerio de Energías, en sustitución de la Gerencia Nacional de Recursos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Evaporíticos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Ley 928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27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abril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617AD4" w:rsidRPr="00617AD4" w:rsidTr="00617AD4">
        <w:trPr>
          <w:trHeight w:val="8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Reglamentar los aspectos relativos al funcionamiento de la Empresa Pública Nacional Estratégica de Yacimientos de Litio Bolivianos - YLB, en su etapa de implement</w:t>
            </w:r>
            <w:bookmarkStart w:id="0" w:name="_GoBack"/>
            <w:bookmarkEnd w:id="0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ación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3227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28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junio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617AD4" w:rsidRPr="00617AD4" w:rsidTr="00617AD4">
        <w:trPr>
          <w:trHeight w:val="288"/>
        </w:trPr>
        <w:tc>
          <w:tcPr>
            <w:tcW w:w="6640" w:type="dxa"/>
            <w:shd w:val="clear" w:color="auto" w:fill="auto"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Crea la empresa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publica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YLB ACISA,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tipologia</w:t>
            </w:r>
            <w:proofErr w:type="spellEnd"/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empresa mixta y aprobar sus es</w:t>
            </w:r>
            <w:r w:rsidR="006A530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</w:t>
            </w:r>
            <w:r w:rsidRPr="00617A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atutos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DS 3738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 xml:space="preserve">7 de </w:t>
            </w:r>
            <w:proofErr w:type="spellStart"/>
            <w:r w:rsidRPr="00617AD4">
              <w:rPr>
                <w:rFonts w:ascii="Calibri" w:eastAsia="Times New Roman" w:hAnsi="Calibri" w:cs="Calibri"/>
                <w:color w:val="000000"/>
              </w:rPr>
              <w:t>diciembre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617AD4" w:rsidRPr="00617AD4" w:rsidRDefault="00617AD4" w:rsidP="00617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7AD4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</w:tr>
    </w:tbl>
    <w:p w:rsidR="00E160A2" w:rsidRDefault="00E160A2"/>
    <w:p w:rsidR="00FB2349" w:rsidRDefault="00FB2349"/>
    <w:sectPr w:rsidR="00FB2349" w:rsidSect="00E160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2"/>
    <w:rsid w:val="003D36B2"/>
    <w:rsid w:val="00617AD4"/>
    <w:rsid w:val="006A530E"/>
    <w:rsid w:val="00E160A2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DB9B"/>
  <w15:chartTrackingRefBased/>
  <w15:docId w15:val="{E2D47554-A5E7-4933-A488-1232A195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6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Comunidad Sustentabl</dc:creator>
  <cp:keywords/>
  <dc:description/>
  <cp:lastModifiedBy>Comunidad Sustentabl</cp:lastModifiedBy>
  <cp:revision>2</cp:revision>
  <dcterms:created xsi:type="dcterms:W3CDTF">2020-05-30T02:08:00Z</dcterms:created>
  <dcterms:modified xsi:type="dcterms:W3CDTF">2020-05-30T04:17:00Z</dcterms:modified>
</cp:coreProperties>
</file>